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124" y="0"/>
                <wp:lineTo x="-124" y="20788"/>
                <wp:lineTo x="20845" y="20788"/>
                <wp:lineTo x="20845" y="0"/>
                <wp:lineTo x="-124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ind w:hanging="142" w:left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tLeast" w:line="288" w:before="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изменения в приложение к постановлению Правительства Камчатского кра</w:t>
      </w:r>
      <w:r>
        <w:rPr>
          <w:rFonts w:ascii="Times New Roman" w:hAnsi="Times New Roman"/>
          <w:b/>
          <w:bCs/>
          <w:sz w:val="28"/>
          <w:szCs w:val="28"/>
        </w:rPr>
        <w:t>я от 16.07.2025 № 313-П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годов»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постановление Правительства Камчатского края </w:t>
        <w:br/>
        <w:t>от 16.07.2025 № 313-П «Об утверждении годовых предельных объемов потребления коммунальных услуг государственными органами Камчатского края и краевыми государственными учреждениями на 2026 год и на плановый период 2027 и 2028 годов» изменение, изложив приложение 1 в редакции согласно приложению к настоящему постановлению.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3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78"/>
        <w:gridCol w:w="3544"/>
        <w:gridCol w:w="2551"/>
      </w:tblGrid>
      <w:tr>
        <w:trPr>
          <w:trHeight w:val="2220" w:hRule="atLeast"/>
        </w:trPr>
        <w:tc>
          <w:tcPr>
            <w:tcW w:w="3578" w:type="dxa"/>
            <w:tcBorders/>
          </w:tcPr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Председатель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Правительства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44" w:type="dxa"/>
            <w:tcBorders/>
          </w:tcPr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551" w:type="dxa"/>
            <w:tcBorders/>
          </w:tcPr>
          <w:p>
            <w:pPr>
              <w:pStyle w:val="Normal"/>
              <w:spacing w:lineRule="auto" w:line="240" w:before="0" w:after="0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Ю.С. Морозова</w:t>
            </w:r>
          </w:p>
        </w:tc>
      </w:tr>
    </w:tbl>
    <w:p>
      <w:pPr>
        <w:sectPr>
          <w:type w:val="nextPage"/>
          <w:pgSz w:w="11906" w:h="16838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360" w:charSpace="8192"/>
        </w:sectPr>
      </w:pPr>
      <w:r>
        <w:br w:type="page"/>
      </w:r>
    </w:p>
    <w:tbl>
      <w:tblPr>
        <w:tblW w:w="1452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0"/>
        <w:gridCol w:w="478"/>
        <w:gridCol w:w="479"/>
        <w:gridCol w:w="8658"/>
        <w:gridCol w:w="514"/>
        <w:gridCol w:w="1764"/>
        <w:gridCol w:w="451"/>
        <w:gridCol w:w="1694"/>
      </w:tblGrid>
      <w:tr>
        <w:trPr/>
        <w:tc>
          <w:tcPr>
            <w:tcW w:w="480" w:type="dxa"/>
            <w:tcBorders/>
          </w:tcPr>
          <w:p>
            <w:pPr>
              <w:pStyle w:val="Normal"/>
              <w:pageBreakBefore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Приложение к постановлению</w:t>
            </w:r>
          </w:p>
        </w:tc>
      </w:tr>
      <w:tr>
        <w:trPr/>
        <w:tc>
          <w:tcPr>
            <w:tcW w:w="48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423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>
        <w:trPr>
          <w:trHeight w:val="361" w:hRule="atLeast"/>
        </w:trPr>
        <w:tc>
          <w:tcPr>
            <w:tcW w:w="480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8658" w:type="dxa"/>
            <w:tcBorders/>
          </w:tcPr>
          <w:p>
            <w:pPr>
              <w:pStyle w:val="Normal"/>
              <w:spacing w:lineRule="auto" w:line="240" w:before="0" w:after="60"/>
              <w:ind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1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76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EGDATESTAMP]</w:t>
            </w:r>
          </w:p>
        </w:tc>
        <w:tc>
          <w:tcPr>
            <w:tcW w:w="451" w:type="dxa"/>
            <w:tcBorders/>
          </w:tcPr>
          <w:p>
            <w:pPr>
              <w:pStyle w:val="Normal"/>
              <w:spacing w:lineRule="auto" w:line="240" w:before="0" w:after="0"/>
              <w:ind w:hanging="8079" w:left="8079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694" w:type="dxa"/>
            <w:tcBorders/>
          </w:tcPr>
          <w:p>
            <w:pPr>
              <w:pStyle w:val="Normal"/>
              <w:spacing w:lineRule="auto" w:line="240" w:before="0" w:after="60"/>
              <w:ind w:hanging="8079" w:left="8079"/>
              <w:jc w:val="right"/>
              <w:rPr>
                <w:rFonts w:ascii="Calibri" w:hAnsi="Calibri"/>
                <w:color w:themeColor="background1" w:val="FFFFFF"/>
              </w:rPr>
            </w:pPr>
            <w:r>
              <w:rPr>
                <w:rFonts w:ascii="Times New Roman" w:hAnsi="Times New Roman"/>
                <w:color w:themeColor="background1" w:val="FFFFFF"/>
                <w:sz w:val="28"/>
              </w:rPr>
              <w:t>[R</w:t>
            </w:r>
            <w:r>
              <w:rPr>
                <w:rFonts w:ascii="Times New Roman" w:hAnsi="Times New Roman"/>
                <w:color w:themeColor="background1" w:val="FFFFFF"/>
                <w:sz w:val="16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1 к постановлению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ind w:left="100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16.07.2025 № 313-П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Годовые предельные объемы потребления </w:t>
      </w:r>
      <w:r>
        <w:rPr>
          <w:rFonts w:ascii="Times New Roman" w:hAnsi="Times New Roman"/>
          <w:sz w:val="26"/>
          <w:szCs w:val="26"/>
        </w:rPr>
        <w:br w:type="textWrapping" w:clear="all"/>
      </w:r>
      <w:r>
        <w:rPr>
          <w:rFonts w:ascii="Times New Roman" w:hAnsi="Times New Roman"/>
          <w:sz w:val="26"/>
          <w:szCs w:val="26"/>
        </w:rPr>
        <w:t xml:space="preserve">коммунальных услуг государственными органами Камчатского края и краевыми государственными учреждениями на 2026 год (для краевых государственных бюджетных учреждений) </w:t>
      </w:r>
    </w:p>
    <w:tbl>
      <w:tblPr>
        <w:tblW w:w="1445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66"/>
        <w:gridCol w:w="4399"/>
        <w:gridCol w:w="1133"/>
        <w:gridCol w:w="995"/>
        <w:gridCol w:w="1275"/>
        <w:gridCol w:w="1420"/>
        <w:gridCol w:w="1135"/>
        <w:gridCol w:w="1277"/>
        <w:gridCol w:w="1135"/>
        <w:gridCol w:w="1122"/>
      </w:tblGrid>
      <w:tr>
        <w:trPr>
          <w:trHeight w:val="390" w:hRule="atLeast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right="-109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6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Теплоэнергия</w:t>
            </w:r>
          </w:p>
        </w:tc>
        <w:tc>
          <w:tcPr>
            <w:tcW w:w="2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Водопотребление</w:t>
            </w:r>
          </w:p>
        </w:tc>
        <w:tc>
          <w:tcPr>
            <w:tcW w:w="22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Водоотведение</w:t>
            </w:r>
          </w:p>
        </w:tc>
      </w:tr>
      <w:tr>
        <w:trPr>
          <w:trHeight w:val="251" w:hRule="atLeast"/>
        </w:trPr>
        <w:tc>
          <w:tcPr>
            <w:tcW w:w="56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39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кВт/ч.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</w:tr>
    </w:tbl>
    <w:p>
      <w:pPr>
        <w:pStyle w:val="Normal"/>
        <w:spacing w:before="0" w:after="0"/>
        <w:jc w:val="center"/>
        <w:rPr>
          <w:rFonts w:ascii="Times New Roman" w:hAnsi="Times New Roman"/>
          <w:sz w:val="6"/>
          <w:szCs w:val="21"/>
        </w:rPr>
      </w:pPr>
      <w:r>
        <w:rPr>
          <w:rFonts w:ascii="Times New Roman" w:hAnsi="Times New Roman"/>
          <w:sz w:val="6"/>
          <w:szCs w:val="21"/>
        </w:rPr>
      </w:r>
    </w:p>
    <w:p>
      <w:pPr>
        <w:pStyle w:val="Normal"/>
        <w:spacing w:before="0" w:after="0"/>
        <w:rPr>
          <w:sz w:val="4"/>
          <w:szCs w:val="21"/>
        </w:rPr>
      </w:pPr>
      <w:r>
        <w:rPr>
          <w:sz w:val="4"/>
          <w:szCs w:val="21"/>
        </w:rPr>
      </w:r>
    </w:p>
    <w:tbl>
      <w:tblPr>
        <w:tblW w:w="14509" w:type="dxa"/>
        <w:jc w:val="left"/>
        <w:tblInd w:w="-2" w:type="dxa"/>
        <w:tblLayout w:type="fixed"/>
        <w:tblCellMar>
          <w:top w:w="0" w:type="dxa"/>
          <w:left w:w="18" w:type="dxa"/>
          <w:bottom w:w="0" w:type="dxa"/>
          <w:right w:w="18" w:type="dxa"/>
        </w:tblCellMar>
        <w:tblLook w:val="04a0" w:noHBand="0" w:noVBand="1" w:firstColumn="1" w:lastRow="0" w:lastColumn="0" w:firstRow="1"/>
      </w:tblPr>
      <w:tblGrid>
        <w:gridCol w:w="561"/>
        <w:gridCol w:w="4376"/>
        <w:gridCol w:w="1181"/>
        <w:gridCol w:w="992"/>
        <w:gridCol w:w="1280"/>
        <w:gridCol w:w="1413"/>
        <w:gridCol w:w="1139"/>
        <w:gridCol w:w="1278"/>
        <w:gridCol w:w="1135"/>
        <w:gridCol w:w="1152"/>
      </w:tblGrid>
      <w:tr>
        <w:trPr>
          <w:tblHeader w:val="true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</w:tr>
      <w:tr>
        <w:trPr>
          <w:trHeight w:val="405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806,45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18 723,03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1 473,84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19 409,15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1 698,96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442,50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1 708,46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354,52</w:t>
            </w:r>
          </w:p>
        </w:tc>
      </w:tr>
      <w:tr>
        <w:trPr>
          <w:trHeight w:val="354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68,18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1 773,40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132,26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552,05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289,96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67,52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139,97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14,05</w:t>
            </w:r>
          </w:p>
        </w:tc>
      </w:tr>
      <w:tr>
        <w:trPr>
          <w:trHeight w:val="350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2 887,63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76 747,56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14 068,32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277 354,56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42 333,95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8 481,83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51 586,37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9 443,41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(краевой бюджет)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3 665,93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122 163,75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9 646,68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205 266,71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51 475,35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13 146,75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65 417,20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13 935,77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Министерство здравоохранения Камчатского края </w:t>
              <w:br/>
              <w:t>(бюджет территориального фонда ОМС Камчатского края)*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17 916,64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507 205,02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25 881,49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482 918,65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167 739,78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36 882,87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203 411,00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39 936,14</w:t>
            </w:r>
          </w:p>
        </w:tc>
      </w:tr>
      <w:tr>
        <w:trPr>
          <w:trHeight w:val="339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341,56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8 492,74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2 287,66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42 548,53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4 882,90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1 253,82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6 561,82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1 378,09</w:t>
            </w:r>
          </w:p>
        </w:tc>
      </w:tr>
      <w:tr>
        <w:trPr>
          <w:trHeight w:val="39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12,86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298,57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38,24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604,31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15,89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121,50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25,21</w:t>
            </w:r>
          </w:p>
        </w:tc>
      </w:tr>
      <w:tr>
        <w:trPr>
          <w:trHeight w:val="327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470,13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11 268,05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511,77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9 547,45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5 516,00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1 435,02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5 766,99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1 198,24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318,01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9 160,66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315,76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6 332,80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1 240,81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272,84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468,60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99,19</w:t>
            </w:r>
          </w:p>
        </w:tc>
      </w:tr>
      <w:tr>
        <w:trPr>
          <w:trHeight w:val="406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20,72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1 268,89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111,75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622,88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131,53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28,86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259,04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62,12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236,38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9 299,78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1 458,56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30 387,54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3 692,26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932,35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5 694,23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1 217,45</w:t>
            </w:r>
          </w:p>
        </w:tc>
      </w:tr>
      <w:tr>
        <w:trPr/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140,00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3 250,32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39,07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31,13</w:t>
            </w:r>
          </w:p>
        </w:tc>
      </w:tr>
      <w:tr>
        <w:trPr/>
        <w:tc>
          <w:tcPr>
            <w:tcW w:w="5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3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11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15,08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350,20</w:t>
            </w: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71,00</w:t>
            </w:r>
          </w:p>
        </w:tc>
        <w:tc>
          <w:tcPr>
            <w:tcW w:w="1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1 648,37</w:t>
            </w:r>
          </w:p>
        </w:tc>
        <w:tc>
          <w:tcPr>
            <w:tcW w:w="11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151,20</w:t>
            </w: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39,38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216,81</w:t>
            </w:r>
          </w:p>
        </w:tc>
        <w:tc>
          <w:tcPr>
            <w:tcW w:w="11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44,99</w:t>
            </w:r>
          </w:p>
        </w:tc>
      </w:tr>
      <w:tr>
        <w:trPr>
          <w:trHeight w:val="183" w:hRule="atLeast"/>
        </w:trPr>
        <w:tc>
          <w:tcPr>
            <w:tcW w:w="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8 982,93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262 796,95</w:t>
            </w: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30 115,84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596 274,35</w:t>
            </w:r>
          </w:p>
        </w:tc>
        <w:tc>
          <w:tcPr>
            <w:tcW w:w="1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111 623,92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26 155,83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138 090,99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27 804,16</w:t>
            </w:r>
          </w:p>
        </w:tc>
      </w:tr>
    </w:tbl>
    <w:p>
      <w:pPr>
        <w:pStyle w:val="Normal"/>
        <w:spacing w:lineRule="auto" w:line="240" w:before="0" w:after="0"/>
        <w:jc w:val="right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продолжение таблицы</w:t>
      </w:r>
    </w:p>
    <w:tbl>
      <w:tblPr>
        <w:tblW w:w="14639" w:type="dxa"/>
        <w:jc w:val="center"/>
        <w:tblInd w:w="0" w:type="dxa"/>
        <w:tblLayout w:type="fixed"/>
        <w:tblCellMar>
          <w:top w:w="0" w:type="dxa"/>
          <w:left w:w="18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74"/>
        <w:gridCol w:w="16"/>
        <w:gridCol w:w="4084"/>
        <w:gridCol w:w="994"/>
        <w:gridCol w:w="990"/>
        <w:gridCol w:w="850"/>
        <w:gridCol w:w="851"/>
        <w:gridCol w:w="847"/>
        <w:gridCol w:w="993"/>
        <w:gridCol w:w="850"/>
        <w:gridCol w:w="851"/>
        <w:gridCol w:w="852"/>
        <w:gridCol w:w="991"/>
        <w:gridCol w:w="995"/>
      </w:tblGrid>
      <w:tr>
        <w:trPr>
          <w:tblHeader w:val="true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41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Главные распорядители средств краевого бюджета</w:t>
            </w: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ЦГВС</w:t>
            </w:r>
          </w:p>
        </w:tc>
        <w:tc>
          <w:tcPr>
            <w:tcW w:w="26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Водоразбор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Газоснабжение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ТКО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Всего</w:t>
              <w:br/>
              <w:t xml:space="preserve"> (тыс. руб.)</w:t>
            </w:r>
          </w:p>
        </w:tc>
      </w:tr>
      <w:tr>
        <w:trPr/>
        <w:tc>
          <w:tcPr>
            <w:tcW w:w="4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4100" w:type="dxa"/>
            <w:gridSpan w:val="2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Гкал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тыс.м3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99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before="0" w:after="1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>
        <w:trPr>
          <w:trHeight w:val="28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Губернатора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9,50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10,42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439,09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432,54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39 372,16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природных ресурсов и экологии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39,34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38,75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2 445,77</w:t>
            </w:r>
          </w:p>
        </w:tc>
      </w:tr>
      <w:tr>
        <w:trPr>
          <w:trHeight w:val="433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образования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7 387,09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14 415,09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214,17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3 385,18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4 533,98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5 083,44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4 853,83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395 830,26</w:t>
            </w:r>
          </w:p>
        </w:tc>
      </w:tr>
      <w:tr>
        <w:trPr>
          <w:trHeight w:val="51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(краевой бюджет)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1 140,84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16 046,35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24 202,33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227,70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2 969,32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4 706,00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4 088,54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4 027,51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387 448,81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здравоохранения Камчатского края (бюджет территориального фонда ОМС Камчатского края)*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3 034,20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33 518,00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60 156,16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375,17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6 848,17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8 008,71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1 500,00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21 304,76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22 760,48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22 420,56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1 178 832,87</w:t>
            </w:r>
          </w:p>
        </w:tc>
      </w:tr>
      <w:tr>
        <w:trPr>
          <w:trHeight w:val="330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культуры 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97,84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1 348,34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1 896,81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22,38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330,58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439,74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620,86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611,59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56 621,32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чрезвычайным ситуациям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2,69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37,74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52,32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996,30</w:t>
            </w:r>
          </w:p>
        </w:tc>
      </w:tr>
      <w:tr>
        <w:trPr>
          <w:trHeight w:val="316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спорта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0,56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8,24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27,40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13,53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242,75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277,10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585,58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576,82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24 330,08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11,77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14,29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43,61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213,43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210,21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16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133</w:t>
            </w:r>
            <w:r>
              <w:rPr>
                <w:rFonts w:ascii="Times New Roman" w:hAnsi="Times New Roman"/>
                <w:sz w:val="18"/>
                <w:szCs w:val="18"/>
              </w:rPr>
              <w:t>,6</w:t>
            </w:r>
          </w:p>
        </w:tc>
      </w:tr>
      <w:tr>
        <w:trPr>
          <w:trHeight w:val="329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по делам молодежи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8,52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127,51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227,95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210,7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социального благополучия и семейной политики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87,91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1 151,78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1 887,37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70,73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871,61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1 344,76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833,36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45 902,61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имущественных и земельных отношений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3 320.52</w:t>
            </w:r>
          </w:p>
        </w:tc>
      </w:tr>
      <w:tr>
        <w:trPr/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Министерство архитектуры и градостроительства Камчатского края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3,45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71,60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2 154.54</w:t>
            </w:r>
          </w:p>
        </w:tc>
      </w:tr>
      <w:tr>
        <w:trPr>
          <w:trHeight w:val="192" w:hRule="atLeast"/>
        </w:trPr>
        <w:tc>
          <w:tcPr>
            <w:tcW w:w="49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408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2 060,12</w:t>
            </w: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26 134,92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42 728,55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552,42</w:t>
            </w:r>
          </w:p>
        </w:tc>
        <w:tc>
          <w:tcPr>
            <w:tcW w:w="84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7 858,44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11 378,61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3,07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43,61</w:t>
            </w:r>
          </w:p>
        </w:tc>
        <w:tc>
          <w:tcPr>
            <w:tcW w:w="85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11 916,29</w:t>
            </w:r>
          </w:p>
        </w:tc>
        <w:tc>
          <w:tcPr>
            <w:tcW w:w="9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11 584,61</w:t>
            </w:r>
          </w:p>
        </w:tc>
        <w:tc>
          <w:tcPr>
            <w:tcW w:w="9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 xml:space="preserve">978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766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  <w:bookmarkStart w:id="2" w:name="_GoBack"/>
            <w:bookmarkEnd w:id="2"/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</w:tbl>
    <w:p>
      <w:pPr>
        <w:pStyle w:val="Normal"/>
        <w:spacing w:lineRule="auto" w:line="240" w:before="0" w:after="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16"/>
          <w:szCs w:val="16"/>
        </w:rPr>
        <w:t>*В итоговую сумму строка 4.1. (бюджет территориального фонда ОМС Камчатского края) не включается.».</w:t>
      </w:r>
    </w:p>
    <w:sectPr>
      <w:type w:val="nextPage"/>
      <w:pgSz w:orient="landscape" w:w="16838" w:h="11906"/>
      <w:pgMar w:left="1418" w:right="851" w:gutter="0" w:header="0" w:top="1134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Heading1">
    <w:name w:val="Heading 1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imes New Roman" w:cs="Times New Roman"/>
      <w:b/>
      <w:color w:val="000000"/>
      <w:kern w:val="0"/>
      <w:sz w:val="32"/>
      <w:szCs w:val="20"/>
      <w:lang w:val="ru-RU" w:eastAsia="ru-RU" w:bidi="ar-SA"/>
    </w:rPr>
  </w:style>
  <w:style w:type="paragraph" w:styleId="Heading2">
    <w:name w:val="Heading 2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Heading3">
    <w:name w:val="Heading 3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imes New Roman" w:cs="Times New Roman"/>
      <w:b/>
      <w:color w:val="000000"/>
      <w:kern w:val="0"/>
      <w:sz w:val="26"/>
      <w:szCs w:val="20"/>
      <w:lang w:val="ru-RU" w:eastAsia="ru-RU" w:bidi="ar-SA"/>
    </w:rPr>
  </w:style>
  <w:style w:type="paragraph" w:styleId="Heading4">
    <w:name w:val="Heading 4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imes New Roman" w:cs="Times New Roman"/>
      <w:b/>
      <w:color w:val="000000"/>
      <w:kern w:val="0"/>
      <w:sz w:val="24"/>
      <w:szCs w:val="20"/>
      <w:lang w:val="ru-RU" w:eastAsia="ru-RU" w:bidi="ar-SA"/>
    </w:rPr>
  </w:style>
  <w:style w:type="paragraph" w:styleId="Heading5">
    <w:name w:val="Heading 5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imes New Roman" w:cs="Times New Roman"/>
      <w:b/>
      <w:color w:val="000000"/>
      <w:kern w:val="0"/>
      <w:sz w:val="22"/>
      <w:szCs w:val="20"/>
      <w:lang w:val="ru-RU" w:eastAsia="ru-RU" w:bidi="ar-SA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5" w:customStyle="1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6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Обычный1"/>
    <w:qFormat/>
    <w:rPr/>
  </w:style>
  <w:style w:type="character" w:styleId="2" w:customStyle="1">
    <w:name w:val="Оглавление 2 Знак"/>
    <w:qFormat/>
    <w:rPr>
      <w:rFonts w:ascii="XO Thames" w:hAnsi="XO Thames"/>
      <w:sz w:val="28"/>
    </w:rPr>
  </w:style>
  <w:style w:type="character" w:styleId="4" w:customStyle="1">
    <w:name w:val="Оглавление 4 Знак"/>
    <w:qFormat/>
    <w:rPr>
      <w:rFonts w:ascii="XO Thames" w:hAnsi="XO Thames"/>
      <w:sz w:val="28"/>
    </w:rPr>
  </w:style>
  <w:style w:type="character" w:styleId="Style7" w:customStyle="1">
    <w:name w:val="Верхний колонтитул Знак"/>
    <w:basedOn w:val="1"/>
    <w:uiPriority w:val="99"/>
    <w:qFormat/>
    <w:rPr/>
  </w:style>
  <w:style w:type="character" w:styleId="6" w:customStyle="1">
    <w:name w:val="Оглавление 6 Знак"/>
    <w:qFormat/>
    <w:rPr>
      <w:rFonts w:ascii="XO Thames" w:hAnsi="XO Thames"/>
      <w:sz w:val="28"/>
    </w:rPr>
  </w:style>
  <w:style w:type="character" w:styleId="7" w:customStyle="1">
    <w:name w:val="Оглавление 7 Знак"/>
    <w:qFormat/>
    <w:rPr>
      <w:rFonts w:ascii="XO Thames" w:hAnsi="XO Thames"/>
      <w:sz w:val="28"/>
    </w:rPr>
  </w:style>
  <w:style w:type="character" w:styleId="3" w:customStyle="1">
    <w:name w:val="Заголовок 3 Знак"/>
    <w:qFormat/>
    <w:rPr>
      <w:rFonts w:ascii="XO Thames" w:hAnsi="XO Thames"/>
      <w:b/>
      <w:sz w:val="26"/>
    </w:rPr>
  </w:style>
  <w:style w:type="character" w:styleId="Style8" w:customStyle="1">
    <w:name w:val="Текст Знак"/>
    <w:basedOn w:val="1"/>
    <w:qFormat/>
    <w:rPr>
      <w:rFonts w:ascii="Calibri" w:hAnsi="Calibri"/>
    </w:rPr>
  </w:style>
  <w:style w:type="character" w:styleId="31" w:customStyle="1">
    <w:name w:val="Оглавление 3 Знак"/>
    <w:qFormat/>
    <w:rPr>
      <w:rFonts w:ascii="XO Thames" w:hAnsi="XO Thames"/>
      <w:sz w:val="28"/>
    </w:rPr>
  </w:style>
  <w:style w:type="character" w:styleId="5" w:customStyle="1">
    <w:name w:val="Заголовок 5 Знак"/>
    <w:qFormat/>
    <w:rPr>
      <w:rFonts w:ascii="XO Thames" w:hAnsi="XO Thames"/>
      <w:b/>
      <w:sz w:val="22"/>
    </w:rPr>
  </w:style>
  <w:style w:type="character" w:styleId="11" w:customStyle="1">
    <w:name w:val="Заголовок 1 Знак"/>
    <w:qFormat/>
    <w:rPr>
      <w:rFonts w:ascii="XO Thames" w:hAnsi="XO Thames"/>
      <w:b/>
      <w:sz w:val="32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otnote" w:customStyle="1">
    <w:name w:val="Footnote"/>
    <w:qFormat/>
    <w:rPr>
      <w:rFonts w:ascii="XO Thames" w:hAnsi="XO Thames"/>
      <w:sz w:val="22"/>
    </w:rPr>
  </w:style>
  <w:style w:type="character" w:styleId="12" w:customStyle="1">
    <w:name w:val="Оглавление 1 Знак"/>
    <w:qFormat/>
    <w:rPr>
      <w:rFonts w:ascii="XO Thames" w:hAnsi="XO Thames"/>
      <w:b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9" w:customStyle="1">
    <w:name w:val="Оглавление 9 Знак"/>
    <w:qFormat/>
    <w:rPr>
      <w:rFonts w:ascii="XO Thames" w:hAnsi="XO Thames"/>
      <w:sz w:val="28"/>
    </w:rPr>
  </w:style>
  <w:style w:type="character" w:styleId="8" w:customStyle="1">
    <w:name w:val="Оглавление 8 Знак"/>
    <w:qFormat/>
    <w:rPr>
      <w:rFonts w:ascii="XO Thames" w:hAnsi="XO Thames"/>
      <w:sz w:val="28"/>
    </w:rPr>
  </w:style>
  <w:style w:type="character" w:styleId="51" w:customStyle="1">
    <w:name w:val="Оглавление 5 Знак"/>
    <w:qFormat/>
    <w:rPr>
      <w:rFonts w:ascii="XO Thames" w:hAnsi="XO Thames"/>
      <w:sz w:val="28"/>
    </w:rPr>
  </w:style>
  <w:style w:type="character" w:styleId="Style9" w:customStyle="1">
    <w:name w:val="Подзаголовок Знак"/>
    <w:qFormat/>
    <w:rPr>
      <w:rFonts w:ascii="XO Thames" w:hAnsi="XO Thames"/>
      <w:i/>
      <w:sz w:val="24"/>
    </w:rPr>
  </w:style>
  <w:style w:type="character" w:styleId="Style10" w:customStyle="1">
    <w:name w:val="Нижний колонтитул Знак"/>
    <w:basedOn w:val="1"/>
    <w:qFormat/>
    <w:rPr>
      <w:rFonts w:ascii="Times New Roman" w:hAnsi="Times New Roman"/>
      <w:sz w:val="28"/>
    </w:rPr>
  </w:style>
  <w:style w:type="character" w:styleId="Style11" w:customStyle="1">
    <w:name w:val="Заголовок Знак"/>
    <w:qFormat/>
    <w:rPr>
      <w:rFonts w:ascii="XO Thames" w:hAnsi="XO Thames"/>
      <w:b/>
      <w:caps/>
      <w:sz w:val="40"/>
    </w:rPr>
  </w:style>
  <w:style w:type="character" w:styleId="Style12" w:customStyle="1">
    <w:name w:val="Текст выноски Знак"/>
    <w:basedOn w:val="1"/>
    <w:qFormat/>
    <w:rPr>
      <w:rFonts w:ascii="Segoe UI" w:hAnsi="Segoe UI"/>
      <w:sz w:val="18"/>
    </w:rPr>
  </w:style>
  <w:style w:type="character" w:styleId="41" w:customStyle="1">
    <w:name w:val="Заголовок 4 Знак"/>
    <w:qFormat/>
    <w:rPr>
      <w:rFonts w:ascii="XO Thames" w:hAnsi="XO Thames"/>
      <w:b/>
      <w:sz w:val="24"/>
    </w:rPr>
  </w:style>
  <w:style w:type="character" w:styleId="21" w:customStyle="1">
    <w:name w:val="Заголовок 2 Знак"/>
    <w:qFormat/>
    <w:rPr>
      <w:rFonts w:ascii="XO Thames" w:hAnsi="XO Thames"/>
      <w:b/>
      <w:sz w:val="28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empora LGC Uni" w:hAnsi="Tempora LGC Uni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next w:val="BodyText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imes New Roman" w:cs="Times New Roman"/>
      <w:b/>
      <w:caps/>
      <w:color w:val="000000"/>
      <w:kern w:val="0"/>
      <w:sz w:val="40"/>
      <w:szCs w:val="20"/>
      <w:lang w:val="ru-RU" w:eastAsia="ru-RU" w:bidi="ar-SA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/>
    </w:pPr>
    <w:rPr>
      <w:i/>
    </w:rPr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pPr>
      <w:spacing w:before="0" w:after="0"/>
    </w:pPr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Indexheading111" w:customStyle="1">
    <w:name w:val="index heading111"/>
    <w:basedOn w:val="Normal"/>
    <w:qFormat/>
    <w:pPr>
      <w:suppressLineNumbers/>
    </w:pPr>
    <w:rPr>
      <w:rFonts w:ascii="Tempora LGC Uni" w:hAnsi="Tempora LGC Uni" w:cs="Lohit Devanagari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ascii="Tempora LGC Uni" w:hAnsi="Tempora LGC Uni" w:cs="Lohit Devanagari"/>
      <w:i/>
      <w:iCs/>
      <w:sz w:val="24"/>
      <w:szCs w:val="24"/>
    </w:rPr>
  </w:style>
  <w:style w:type="paragraph" w:styleId="TOC2">
    <w:name w:val="TOC 2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4">
    <w:name w:val="TOC 4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tyle15" w:customStyle="1">
    <w:name w:val="Колонтитул"/>
    <w:qFormat/>
    <w:pPr>
      <w:widowControl/>
      <w:suppressAutoHyphens w:val="true"/>
      <w:bidi w:val="0"/>
      <w:spacing w:before="0" w:after="160"/>
      <w:jc w:val="both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Header">
    <w:name w:val="Head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OC6">
    <w:name w:val="TOC 6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7">
    <w:name w:val="TOC 7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alibri" w:hAnsi="Calibri"/>
    </w:rPr>
  </w:style>
  <w:style w:type="paragraph" w:styleId="TOC3">
    <w:name w:val="TOC 3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13" w:customStyle="1">
    <w:name w:val="Гиперссылка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themeColor="hyperlink" w:val="0563C1"/>
      <w:kern w:val="0"/>
      <w:sz w:val="22"/>
      <w:szCs w:val="20"/>
      <w:u w:val="single"/>
      <w:lang w:val="ru-RU" w:eastAsia="ru-RU" w:bidi="ar-SA"/>
    </w:rPr>
  </w:style>
  <w:style w:type="paragraph" w:styleId="Footnote1" w:customStyle="1">
    <w:name w:val="Footnote1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imes New Roman" w:cs="Times New Roman"/>
      <w:color w:val="000000"/>
      <w:kern w:val="0"/>
      <w:sz w:val="22"/>
      <w:szCs w:val="20"/>
      <w:lang w:val="ru-RU" w:eastAsia="ru-RU" w:bidi="ar-SA"/>
    </w:rPr>
  </w:style>
  <w:style w:type="paragraph" w:styleId="TOC1">
    <w:name w:val="TOC 1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imes New Roman" w:cs="Times New Roman"/>
      <w:b/>
      <w:color w:val="000000"/>
      <w:kern w:val="0"/>
      <w:sz w:val="28"/>
      <w:szCs w:val="20"/>
      <w:lang w:val="ru-RU" w:eastAsia="ru-RU" w:bidi="ar-SA"/>
    </w:rPr>
  </w:style>
  <w:style w:type="paragraph" w:styleId="14" w:customStyle="1">
    <w:name w:val="Основной шрифт абзаца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imes New Roman" w:cs="Times New Roman" w:asciiTheme="minorHAnsi" w:hAnsiTheme="minorHAnsi"/>
      <w:color w:val="000000"/>
      <w:kern w:val="0"/>
      <w:sz w:val="22"/>
      <w:szCs w:val="20"/>
      <w:lang w:val="ru-RU" w:eastAsia="ru-RU" w:bidi="ar-SA"/>
    </w:rPr>
  </w:style>
  <w:style w:type="paragraph" w:styleId="TOC9">
    <w:name w:val="TOC 9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8">
    <w:name w:val="TOC 8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TOC5">
    <w:name w:val="TOC 5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imes New Roman" w:cs="Times New Roman"/>
      <w:color w:val="000000"/>
      <w:kern w:val="0"/>
      <w:sz w:val="28"/>
      <w:szCs w:val="20"/>
      <w:lang w:val="ru-RU" w:eastAsia="ru-RU" w:bidi="ar-SA"/>
    </w:rPr>
  </w:style>
  <w:style w:type="paragraph" w:styleId="Subtitle">
    <w:name w:val="Subtitle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imes New Roman" w:cs="Times New Roman"/>
      <w:i/>
      <w:color w:val="000000"/>
      <w:kern w:val="0"/>
      <w:sz w:val="24"/>
      <w:szCs w:val="20"/>
      <w:lang w:val="ru-RU" w:eastAsia="ru-RU" w:bidi="ar-SA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Style1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7" w:customStyle="1">
    <w:name w:val="Заголовок таблицы"/>
    <w:basedOn w:val="Style16"/>
    <w:qFormat/>
    <w:pPr>
      <w:jc w:val="center"/>
    </w:pPr>
    <w:rPr>
      <w:b/>
      <w:bCs/>
    </w:rPr>
  </w:style>
  <w:style w:type="paragraph" w:styleId="111" w:customStyle="1">
    <w:name w:val="Колонтитул111"/>
    <w:qFormat/>
    <w:pPr>
      <w:widowControl/>
      <w:suppressAutoHyphens w:val="true"/>
      <w:bidi w:val="0"/>
      <w:spacing w:lineRule="auto" w:line="264" w:before="0" w:after="0"/>
      <w:jc w:val="left"/>
    </w:pPr>
    <w:rPr>
      <w:rFonts w:ascii="XO Thames" w:hAnsi="XO Thames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1111" w:customStyle="1">
    <w:name w:val="Содержимое врезки1111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6">
    <w:name w:val="Plain Table 1"/>
    <w:basedOn w:val="a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4">
    <w:name w:val="Plain Table 2"/>
    <w:basedOn w:val="a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3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3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themeColor="accent5" w:themeShade="95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b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5B9BD5" w:themeColor="accent1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ED7D31" w:themeColor="accent2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A5A5A5" w:themeColor="accent3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FC000" w:themeColor="accent4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4472C4" w:themeColor="accent5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70AD47" w:themeColor="accent6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bottom w:val="single" w:color="4472C4" w:themeColor="accent5" w:sz="4" w:space="0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fill="5B9BD5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4B184" w:fill="F4B184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C9C9C9" w:fill="C9C9C9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D865" w:fill="FFD865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472C4" w:themeColor="accent5" w:sz="32" w:space="0"/>
          <w:bottom w:val="single" w:color="FFFFFF" w:themeColor="light1" w:sz="12" w:space="0"/>
        </w:tcBorders>
        <w:shd w:val="clear" w:color="8DA9DB" w:fill="8DA9DB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472C4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472C4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A9D08E" w:fill="A9D08E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themeColor="accent1" w:themeShade="95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firstRow">
      <w:rPr>
        <w:b/>
        <w:color w:themeColor="accent2" w:themeTint="97" w:themeShade="95"/>
      </w:rPr>
      <w:tblPr/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ED7D31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themeColor="accent3" w:themeTint="98" w:themeShade="95"/>
      </w:rPr>
      <w:tblPr/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A5A5A5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firstRow">
      <w:rPr>
        <w:b/>
        <w:color w:themeColor="accent4" w:themeTint="9a" w:themeShade="95"/>
      </w:rPr>
      <w:tblPr/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FFC000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firstRow">
      <w:rPr>
        <w:b/>
        <w:color w:themeColor="accent5" w:themeTint="9a" w:themeShade="95"/>
      </w:rPr>
      <w:tblPr/>
      <w:tcPr>
        <w:tcBorders>
          <w:bottom w:val="single" w:color="4472C4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themeColor="accent6" w:themeTint="98" w:themeShade="95"/>
      </w:rPr>
      <w:tblPr/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000000" w:themeColor="tex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auto" w:sz="0" w:space="0"/>
          <w:left w:val="single" w:color="000000" w:themeColor="tex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firstRow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5B9BD5" w:themeColor="accent1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5B9BD5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auto" w:sz="0" w:space="0"/>
          <w:left w:val="single" w:color="5B9BD5" w:themeColor="accent1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ED7D31" w:themeColor="accent2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ED7D31" w:themeColor="accent2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auto" w:sz="0" w:space="0"/>
          <w:left w:val="single" w:color="ED7D31" w:themeColor="accent2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A5A5A5" w:themeColor="accent3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A5A5A5" w:themeColor="accent3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auto" w:sz="0" w:space="0"/>
          <w:left w:val="single" w:color="A5A5A5" w:themeColor="accent3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FFC000" w:themeColor="accent4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FFC000" w:themeColor="accent4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auto" w:sz="0" w:space="0"/>
          <w:left w:val="single" w:color="FFC000" w:themeColor="accent4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4472C4" w:themeColor="accent5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4472C4" w:themeColor="accent5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4472C4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auto" w:sz="0" w:space="0"/>
          <w:left w:val="single" w:color="4472C4" w:themeColor="accent5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single" w:color="70AD47" w:themeColor="accent6" w:sz="4" w:space="0"/>
          <w:right w:val="none" w:color="auto" w:sz="0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70AD47" w:themeColor="accent6" w:sz="4" w:space="0"/>
          <w:left w:val="none" w:color="auto" w:sz="0" w:space="0"/>
          <w:bottom w:val="none" w:color="auto" w:sz="0" w:space="0"/>
          <w:right w:val="none" w:color="auto" w:sz="0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none" w:color="auto" w:sz="0" w:space="0"/>
          <w:bottom w:val="none" w:color="auto" w:sz="0" w:space="0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auto" w:sz="0" w:space="0"/>
          <w:left w:val="single" w:color="70AD47" w:themeColor="accent6" w:sz="4" w:space="0"/>
          <w:bottom w:val="none" w:color="auto" w:sz="0" w:space="0"/>
          <w:right w:val="none" w:color="auto" w:sz="0" w:space="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</w:r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  <w:insideH w:val="single" w:color="5B9BD5" w:themeColor="accent1" w:sz="4" w:space="0"/>
        <w:insideV w:val="single" w:color="5B9BD5" w:themeColor="accent1" w:sz="4" w:space="0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</w:rPr>
    <w:tblPr>
      <w:tblStyleRowBandSize w:val="1"/>
      <w:tblStyleColBandSize w:val="1"/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</w:rPr>
    <w:tblPr>
      <w:tblStyleRowBandSize w:val="1"/>
      <w:tblStyleColBandSize w:val="1"/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</w:rPr>
    <w:tblPr>
      <w:tblStyleRowBandSize w:val="1"/>
      <w:tblStyleColBandSize w:val="1"/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</w:r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</w:r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4472C4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472C4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Application>LibreOffice/7.6.7.2$Linux_X86_64 LibreOffice_project/60$Build-2</Application>
  <AppVersion>15.0000</AppVersion>
  <Pages>3</Pages>
  <Words>839</Words>
  <Characters>4734</Characters>
  <CharactersWithSpaces>5176</CharactersWithSpaces>
  <Paragraphs>403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2026-07-08T05:06:00Z</dcterms:created>
  <dc:creator>Лосев Дмитрий Игоревич</dc:creator>
  <dc:description/>
  <dc:language>ru-RU</dc:language>
  <cp:lastModifiedBy/>
  <dcterms:modified xsi:type="dcterms:W3CDTF">2026-07-14T09:30:33Z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